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02" w:rsidRPr="0081246F" w:rsidRDefault="00E72305" w:rsidP="00803702">
      <w:pPr>
        <w:rPr>
          <w:rFonts w:cs="Times New Roman"/>
          <w:szCs w:val="24"/>
          <w:lang w:val="sr-Cyrl-RS"/>
        </w:rPr>
      </w:pPr>
      <w:bookmarkStart w:id="0" w:name="_GoBack"/>
      <w:bookmarkEnd w:id="0"/>
      <w:r>
        <w:rPr>
          <w:rFonts w:cs="Times New Roman"/>
          <w:szCs w:val="24"/>
          <w:lang w:val="sr-Cyrl-RS"/>
        </w:rPr>
        <w:t>REPUBLIKA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SRBIJA</w:t>
      </w:r>
    </w:p>
    <w:p w:rsidR="00803702" w:rsidRPr="0081246F" w:rsidRDefault="00E72305" w:rsidP="00803702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NARODNA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</w:p>
    <w:p w:rsidR="00803702" w:rsidRPr="0081246F" w:rsidRDefault="00E72305" w:rsidP="00803702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</w:p>
    <w:p w:rsidR="00803702" w:rsidRPr="0081246F" w:rsidRDefault="00803702" w:rsidP="00803702">
      <w:pPr>
        <w:rPr>
          <w:rFonts w:cs="Times New Roman"/>
          <w:szCs w:val="24"/>
          <w:lang w:val="sr-Cyrl-RS"/>
        </w:rPr>
      </w:pPr>
      <w:r w:rsidRPr="0081246F">
        <w:rPr>
          <w:rFonts w:cs="Times New Roman"/>
          <w:szCs w:val="24"/>
          <w:lang w:val="sr-Cyrl-RS"/>
        </w:rPr>
        <w:t xml:space="preserve">04 </w:t>
      </w:r>
      <w:r w:rsidR="00E72305">
        <w:rPr>
          <w:rFonts w:cs="Times New Roman"/>
          <w:szCs w:val="24"/>
          <w:lang w:val="sr-Cyrl-RS"/>
        </w:rPr>
        <w:t>Broj</w:t>
      </w:r>
      <w:r w:rsidRPr="0081246F">
        <w:rPr>
          <w:rFonts w:cs="Times New Roman"/>
          <w:szCs w:val="24"/>
          <w:lang w:val="sr-Cyrl-RS"/>
        </w:rPr>
        <w:t>: 5-2320/19-3</w:t>
      </w:r>
    </w:p>
    <w:p w:rsidR="00803702" w:rsidRPr="0081246F" w:rsidRDefault="00803702" w:rsidP="00803702">
      <w:pPr>
        <w:rPr>
          <w:rFonts w:cs="Times New Roman"/>
          <w:szCs w:val="24"/>
          <w:lang w:val="sr-Cyrl-RS"/>
        </w:rPr>
      </w:pPr>
      <w:r w:rsidRPr="0081246F">
        <w:rPr>
          <w:rFonts w:cs="Times New Roman"/>
          <w:szCs w:val="24"/>
          <w:lang w:val="sr-Cyrl-RS"/>
        </w:rPr>
        <w:t xml:space="preserve">21. </w:t>
      </w:r>
      <w:r w:rsidR="00E72305">
        <w:rPr>
          <w:rFonts w:cs="Times New Roman"/>
          <w:szCs w:val="24"/>
          <w:lang w:val="sr-Cyrl-RS"/>
        </w:rPr>
        <w:t>januar</w:t>
      </w:r>
      <w:r w:rsidRPr="0081246F">
        <w:rPr>
          <w:rFonts w:cs="Times New Roman"/>
          <w:szCs w:val="24"/>
          <w:lang w:val="sr-Cyrl-RS"/>
        </w:rPr>
        <w:t xml:space="preserve"> 2021. </w:t>
      </w:r>
      <w:r w:rsidR="00E72305">
        <w:rPr>
          <w:rFonts w:cs="Times New Roman"/>
          <w:szCs w:val="24"/>
          <w:lang w:val="sr-Cyrl-RS"/>
        </w:rPr>
        <w:t>godine</w:t>
      </w:r>
    </w:p>
    <w:p w:rsidR="00803702" w:rsidRPr="0081246F" w:rsidRDefault="00E72305" w:rsidP="00803702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B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</w:p>
    <w:p w:rsidR="00803702" w:rsidRPr="0081246F" w:rsidRDefault="00803702" w:rsidP="00803702">
      <w:pPr>
        <w:rPr>
          <w:rFonts w:cs="Times New Roman"/>
          <w:szCs w:val="24"/>
          <w:lang w:val="sr-Cyrl-RS"/>
        </w:rPr>
      </w:pPr>
    </w:p>
    <w:p w:rsidR="00803702" w:rsidRPr="0081246F" w:rsidRDefault="00803702" w:rsidP="00803702">
      <w:pPr>
        <w:rPr>
          <w:rFonts w:cs="Times New Roman"/>
          <w:szCs w:val="24"/>
          <w:lang w:val="sr-Cyrl-RS"/>
        </w:rPr>
      </w:pPr>
    </w:p>
    <w:p w:rsidR="00803702" w:rsidRPr="0081246F" w:rsidRDefault="00E72305" w:rsidP="00803702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USTAVNOM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SUDU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</w:p>
    <w:p w:rsidR="00803702" w:rsidRPr="0081246F" w:rsidRDefault="00803702" w:rsidP="00803702">
      <w:pPr>
        <w:rPr>
          <w:rFonts w:cs="Times New Roman"/>
          <w:szCs w:val="24"/>
          <w:lang w:val="sr-Cyrl-RS"/>
        </w:rPr>
      </w:pPr>
    </w:p>
    <w:p w:rsidR="00803702" w:rsidRPr="0081246F" w:rsidRDefault="00803702" w:rsidP="00803702">
      <w:pPr>
        <w:jc w:val="right"/>
        <w:rPr>
          <w:rFonts w:cs="Times New Roman"/>
          <w:szCs w:val="24"/>
          <w:lang w:val="sr-Cyrl-RS"/>
        </w:rPr>
      </w:pPr>
    </w:p>
    <w:p w:rsidR="00803702" w:rsidRPr="0081246F" w:rsidRDefault="00803702" w:rsidP="00803702">
      <w:pPr>
        <w:jc w:val="left"/>
        <w:rPr>
          <w:rFonts w:cs="Times New Roman"/>
          <w:szCs w:val="24"/>
          <w:lang w:val="sr-Cyrl-RS"/>
        </w:rPr>
      </w:pPr>
      <w:r w:rsidRPr="0081246F">
        <w:rPr>
          <w:rFonts w:cs="Times New Roman"/>
          <w:szCs w:val="24"/>
          <w:lang w:val="sr-Cyrl-RS"/>
        </w:rPr>
        <w:tab/>
      </w:r>
      <w:r w:rsidRPr="0081246F">
        <w:rPr>
          <w:rFonts w:cs="Times New Roman"/>
          <w:szCs w:val="24"/>
          <w:lang w:val="sr-Cyrl-RS"/>
        </w:rPr>
        <w:tab/>
      </w:r>
      <w:r w:rsidRPr="0081246F">
        <w:rPr>
          <w:rFonts w:cs="Times New Roman"/>
          <w:szCs w:val="24"/>
          <w:lang w:val="sr-Cyrl-RS"/>
        </w:rPr>
        <w:tab/>
      </w:r>
      <w:r w:rsidRPr="0081246F">
        <w:rPr>
          <w:rFonts w:cs="Times New Roman"/>
          <w:szCs w:val="24"/>
          <w:lang w:val="sr-Cyrl-RS"/>
        </w:rPr>
        <w:tab/>
      </w:r>
      <w:r w:rsidRPr="0081246F">
        <w:rPr>
          <w:rFonts w:cs="Times New Roman"/>
          <w:szCs w:val="24"/>
          <w:lang w:val="sr-Cyrl-RS"/>
        </w:rPr>
        <w:tab/>
      </w:r>
      <w:r w:rsidRPr="0081246F">
        <w:rPr>
          <w:rFonts w:cs="Times New Roman"/>
          <w:szCs w:val="24"/>
          <w:lang w:val="sr-Cyrl-RS"/>
        </w:rPr>
        <w:tab/>
      </w:r>
      <w:r w:rsidRPr="0081246F">
        <w:rPr>
          <w:rFonts w:cs="Times New Roman"/>
          <w:szCs w:val="24"/>
          <w:lang w:val="sr-Cyrl-RS"/>
        </w:rPr>
        <w:tab/>
      </w:r>
      <w:r w:rsidRPr="0081246F">
        <w:rPr>
          <w:rFonts w:cs="Times New Roman"/>
          <w:szCs w:val="24"/>
          <w:lang w:val="sr-Cyrl-RS"/>
        </w:rPr>
        <w:tab/>
      </w:r>
      <w:r w:rsidRPr="0081246F">
        <w:rPr>
          <w:rFonts w:cs="Times New Roman"/>
          <w:szCs w:val="24"/>
          <w:lang w:val="sr-Cyrl-RS"/>
        </w:rPr>
        <w:tab/>
      </w:r>
      <w:r w:rsidR="007C5372" w:rsidRPr="0081246F">
        <w:rPr>
          <w:rFonts w:cs="Times New Roman"/>
          <w:szCs w:val="24"/>
          <w:lang w:val="sr-Cyrl-RS"/>
        </w:rPr>
        <w:t xml:space="preserve"> </w:t>
      </w:r>
      <w:r w:rsidRPr="0081246F">
        <w:rPr>
          <w:rFonts w:cs="Times New Roman"/>
          <w:szCs w:val="24"/>
          <w:lang w:val="sr-Cyrl-RS"/>
        </w:rPr>
        <w:t xml:space="preserve">     </w:t>
      </w:r>
      <w:r w:rsidR="00E72305">
        <w:rPr>
          <w:rFonts w:cs="Times New Roman"/>
          <w:szCs w:val="24"/>
          <w:lang w:val="sr-Cyrl-RS"/>
        </w:rPr>
        <w:t>B</w:t>
      </w:r>
      <w:r w:rsidRPr="0081246F">
        <w:rPr>
          <w:rFonts w:cs="Times New Roman"/>
          <w:szCs w:val="24"/>
          <w:lang w:val="sr-Cyrl-RS"/>
        </w:rPr>
        <w:t xml:space="preserve"> </w:t>
      </w:r>
      <w:r w:rsidR="00E72305">
        <w:rPr>
          <w:rFonts w:cs="Times New Roman"/>
          <w:szCs w:val="24"/>
          <w:lang w:val="sr-Cyrl-RS"/>
        </w:rPr>
        <w:t>E</w:t>
      </w:r>
      <w:r w:rsidRPr="0081246F">
        <w:rPr>
          <w:rFonts w:cs="Times New Roman"/>
          <w:szCs w:val="24"/>
          <w:lang w:val="sr-Cyrl-RS"/>
        </w:rPr>
        <w:t xml:space="preserve"> </w:t>
      </w:r>
      <w:r w:rsidR="00E72305">
        <w:rPr>
          <w:rFonts w:cs="Times New Roman"/>
          <w:szCs w:val="24"/>
          <w:lang w:val="sr-Cyrl-RS"/>
        </w:rPr>
        <w:t>O</w:t>
      </w:r>
      <w:r w:rsidRPr="0081246F">
        <w:rPr>
          <w:rFonts w:cs="Times New Roman"/>
          <w:szCs w:val="24"/>
          <w:lang w:val="sr-Cyrl-RS"/>
        </w:rPr>
        <w:t xml:space="preserve"> </w:t>
      </w:r>
      <w:r w:rsidR="00E72305">
        <w:rPr>
          <w:rFonts w:cs="Times New Roman"/>
          <w:szCs w:val="24"/>
          <w:lang w:val="sr-Cyrl-RS"/>
        </w:rPr>
        <w:t>G</w:t>
      </w:r>
      <w:r w:rsidRPr="0081246F">
        <w:rPr>
          <w:rFonts w:cs="Times New Roman"/>
          <w:szCs w:val="24"/>
          <w:lang w:val="sr-Cyrl-RS"/>
        </w:rPr>
        <w:t xml:space="preserve"> </w:t>
      </w:r>
      <w:r w:rsidR="00E72305">
        <w:rPr>
          <w:rFonts w:cs="Times New Roman"/>
          <w:szCs w:val="24"/>
          <w:lang w:val="sr-Cyrl-RS"/>
        </w:rPr>
        <w:t>R</w:t>
      </w:r>
      <w:r w:rsidRPr="0081246F">
        <w:rPr>
          <w:rFonts w:cs="Times New Roman"/>
          <w:szCs w:val="24"/>
          <w:lang w:val="sr-Cyrl-RS"/>
        </w:rPr>
        <w:t xml:space="preserve"> </w:t>
      </w:r>
      <w:r w:rsidR="00E72305">
        <w:rPr>
          <w:rFonts w:cs="Times New Roman"/>
          <w:szCs w:val="24"/>
          <w:lang w:val="sr-Cyrl-RS"/>
        </w:rPr>
        <w:t>A</w:t>
      </w:r>
      <w:r w:rsidRPr="0081246F">
        <w:rPr>
          <w:rFonts w:cs="Times New Roman"/>
          <w:szCs w:val="24"/>
          <w:lang w:val="sr-Cyrl-RS"/>
        </w:rPr>
        <w:t xml:space="preserve"> </w:t>
      </w:r>
      <w:r w:rsidR="00E72305">
        <w:rPr>
          <w:rFonts w:cs="Times New Roman"/>
          <w:szCs w:val="24"/>
          <w:lang w:val="sr-Cyrl-RS"/>
        </w:rPr>
        <w:t>D</w:t>
      </w:r>
    </w:p>
    <w:p w:rsidR="00803702" w:rsidRPr="0081246F" w:rsidRDefault="00E72305" w:rsidP="00803702">
      <w:pPr>
        <w:jc w:val="right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Bulevar</w:t>
      </w:r>
      <w:r w:rsidR="006F48D6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Kralja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Aleksandra</w:t>
      </w:r>
      <w:r w:rsidR="00803702" w:rsidRPr="0081246F">
        <w:rPr>
          <w:rFonts w:cs="Times New Roman"/>
          <w:szCs w:val="24"/>
          <w:lang w:val="sr-Cyrl-RS"/>
        </w:rPr>
        <w:t xml:space="preserve"> 15</w:t>
      </w:r>
    </w:p>
    <w:p w:rsidR="00803702" w:rsidRPr="0081246F" w:rsidRDefault="00803702" w:rsidP="00803702">
      <w:pPr>
        <w:rPr>
          <w:rFonts w:cs="Times New Roman"/>
          <w:szCs w:val="24"/>
          <w:lang w:val="sr-Cyrl-RS"/>
        </w:rPr>
      </w:pPr>
    </w:p>
    <w:p w:rsidR="00FB2D96" w:rsidRPr="0081246F" w:rsidRDefault="00E72305" w:rsidP="00803702">
      <w:pPr>
        <w:tabs>
          <w:tab w:val="left" w:pos="1440"/>
        </w:tabs>
        <w:autoSpaceDE w:val="0"/>
        <w:autoSpaceDN w:val="0"/>
        <w:adjustRightInd w:val="0"/>
        <w:spacing w:after="240"/>
        <w:ind w:firstLine="851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Odbor</w:t>
      </w:r>
      <w:r w:rsidR="00803702" w:rsidRPr="0081246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za</w:t>
      </w:r>
      <w:r w:rsidR="00803702" w:rsidRPr="0081246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ustavna</w:t>
      </w:r>
      <w:r w:rsidR="00803702" w:rsidRPr="0081246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pitanja</w:t>
      </w:r>
      <w:r w:rsidR="00803702" w:rsidRPr="0081246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</w:t>
      </w:r>
      <w:r w:rsidR="00803702" w:rsidRPr="0081246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zakonodavstvo</w:t>
      </w:r>
      <w:r w:rsidR="00803702" w:rsidRPr="0081246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Narodne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skupštine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803702" w:rsidRPr="0081246F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na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sednici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održanoj</w:t>
      </w:r>
      <w:r w:rsidR="00803702" w:rsidRPr="0081246F">
        <w:rPr>
          <w:rFonts w:cs="Times New Roman"/>
          <w:szCs w:val="24"/>
          <w:lang w:val="sr-Cyrl-RS"/>
        </w:rPr>
        <w:t xml:space="preserve"> 21. </w:t>
      </w:r>
      <w:r>
        <w:rPr>
          <w:rFonts w:cs="Times New Roman"/>
          <w:szCs w:val="24"/>
          <w:lang w:val="sr-Cyrl-RS"/>
        </w:rPr>
        <w:t>januara</w:t>
      </w:r>
      <w:r w:rsidR="00803702" w:rsidRPr="0081246F">
        <w:rPr>
          <w:rFonts w:cs="Times New Roman"/>
          <w:szCs w:val="24"/>
          <w:lang w:val="sr-Cyrl-RS"/>
        </w:rPr>
        <w:t xml:space="preserve"> 2021. </w:t>
      </w:r>
      <w:r>
        <w:rPr>
          <w:rFonts w:cs="Times New Roman"/>
          <w:szCs w:val="24"/>
          <w:lang w:val="sr-Cyrl-RS"/>
        </w:rPr>
        <w:t>godine</w:t>
      </w:r>
      <w:r w:rsidR="00803702" w:rsidRPr="0081246F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povodom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pokrenutog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postupka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utvrđivanje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neustavnosti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odredaba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člana</w:t>
      </w:r>
      <w:r w:rsidR="00803702" w:rsidRPr="0081246F">
        <w:rPr>
          <w:rFonts w:cs="Times New Roman"/>
          <w:szCs w:val="24"/>
          <w:lang w:val="sr-Cyrl-RS"/>
        </w:rPr>
        <w:t xml:space="preserve"> 23. </w:t>
      </w:r>
      <w:r>
        <w:rPr>
          <w:rFonts w:cs="Times New Roman"/>
          <w:szCs w:val="24"/>
          <w:lang w:val="sr-Cyrl-RS"/>
        </w:rPr>
        <w:t>Zakona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presađivanju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ljudskih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organa</w:t>
      </w:r>
      <w:r w:rsidR="00803702" w:rsidRPr="0081246F">
        <w:rPr>
          <w:rFonts w:cs="Times New Roman"/>
          <w:szCs w:val="24"/>
          <w:lang w:val="sr-Cyrl-RS"/>
        </w:rPr>
        <w:t xml:space="preserve"> („</w:t>
      </w:r>
      <w:r>
        <w:rPr>
          <w:rFonts w:cs="Times New Roman"/>
          <w:szCs w:val="24"/>
          <w:lang w:val="sr-Cyrl-RS"/>
        </w:rPr>
        <w:t>Službeni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glasnik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RS</w:t>
      </w:r>
      <w:r w:rsidR="00803702" w:rsidRPr="0081246F">
        <w:rPr>
          <w:rFonts w:cs="Times New Roman"/>
          <w:szCs w:val="24"/>
          <w:lang w:val="sr-Cyrl-RS"/>
        </w:rPr>
        <w:t xml:space="preserve">“, </w:t>
      </w:r>
      <w:r>
        <w:rPr>
          <w:rFonts w:cs="Times New Roman"/>
          <w:szCs w:val="24"/>
          <w:lang w:val="sr-Cyrl-RS"/>
        </w:rPr>
        <w:t>broj</w:t>
      </w:r>
      <w:r w:rsidR="00803702" w:rsidRPr="0081246F">
        <w:rPr>
          <w:rFonts w:cs="Times New Roman"/>
          <w:szCs w:val="24"/>
          <w:lang w:val="sr-Cyrl-RS"/>
        </w:rPr>
        <w:t xml:space="preserve"> 57/18)</w:t>
      </w:r>
      <w:r w:rsidR="007C5372" w:rsidRPr="0081246F">
        <w:rPr>
          <w:rFonts w:eastAsia="Calibri" w:cs="Times New Roman"/>
          <w:szCs w:val="24"/>
          <w:lang w:val="sr-Latn-RS"/>
        </w:rPr>
        <w:t xml:space="preserve">, </w:t>
      </w:r>
      <w:r>
        <w:rPr>
          <w:rFonts w:cs="Times New Roman"/>
          <w:szCs w:val="24"/>
          <w:lang w:val="sr-Cyrl-RS"/>
        </w:rPr>
        <w:t>odlučio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dostavi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Ustavnom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sudu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sledeći</w:t>
      </w:r>
      <w:r w:rsidR="00803702" w:rsidRPr="0081246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odgovor</w:t>
      </w:r>
      <w:r w:rsidR="00803702" w:rsidRPr="0081246F">
        <w:rPr>
          <w:rFonts w:cs="Times New Roman"/>
          <w:szCs w:val="24"/>
          <w:lang w:val="sr-Cyrl-RS"/>
        </w:rPr>
        <w:t>:</w:t>
      </w:r>
    </w:p>
    <w:p w:rsidR="00803702" w:rsidRPr="0081246F" w:rsidRDefault="00E72305" w:rsidP="0080370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Ustavni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sud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Rešenjem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broj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: </w:t>
      </w:r>
      <w:r w:rsidR="001A0976" w:rsidRPr="0081246F">
        <w:rPr>
          <w:rStyle w:val="FontStyle23"/>
          <w:sz w:val="24"/>
          <w:szCs w:val="24"/>
          <w:lang w:eastAsia="sr-Cyrl-CS"/>
        </w:rPr>
        <w:t>I</w:t>
      </w:r>
      <w:r>
        <w:rPr>
          <w:rStyle w:val="FontStyle23"/>
          <w:sz w:val="24"/>
          <w:szCs w:val="24"/>
          <w:lang w:val="sr-Cyrl-CS" w:eastAsia="sr-Cyrl-CS"/>
        </w:rPr>
        <w:t>Uz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-223/2018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28. </w:t>
      </w:r>
      <w:r>
        <w:rPr>
          <w:rStyle w:val="FontStyle23"/>
          <w:sz w:val="24"/>
          <w:szCs w:val="24"/>
          <w:lang w:val="sr-Cyrl-CS" w:eastAsia="sr-Cyrl-CS"/>
        </w:rPr>
        <w:t>jula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2020. </w:t>
      </w:r>
      <w:r>
        <w:rPr>
          <w:rStyle w:val="FontStyle23"/>
          <w:sz w:val="24"/>
          <w:szCs w:val="24"/>
          <w:lang w:val="sr-Cyrl-CS" w:eastAsia="sr-Cyrl-CS"/>
        </w:rPr>
        <w:t>godine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pokrenuo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postupak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utvrđiva</w:t>
      </w:r>
      <w:r>
        <w:rPr>
          <w:rStyle w:val="FontStyle23"/>
          <w:sz w:val="24"/>
          <w:szCs w:val="24"/>
          <w:lang w:val="sr-Cyrl-RS" w:eastAsia="sr-Cyrl-CS"/>
        </w:rPr>
        <w:t>nj</w:t>
      </w:r>
      <w:r>
        <w:rPr>
          <w:rStyle w:val="FontStyle23"/>
          <w:sz w:val="24"/>
          <w:szCs w:val="24"/>
          <w:lang w:val="sr-Cyrl-CS" w:eastAsia="sr-Cyrl-CS"/>
        </w:rPr>
        <w:t>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neustavnosti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odredaba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23. </w:t>
      </w:r>
      <w:r>
        <w:rPr>
          <w:rStyle w:val="FontStyle23"/>
          <w:sz w:val="24"/>
          <w:szCs w:val="24"/>
          <w:lang w:val="sr-Cyrl-CS" w:eastAsia="sr-Cyrl-CS"/>
        </w:rPr>
        <w:t>Zakona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(„</w:t>
      </w:r>
      <w:r>
        <w:rPr>
          <w:rStyle w:val="FontStyle23"/>
          <w:sz w:val="24"/>
          <w:szCs w:val="24"/>
          <w:lang w:val="sr-Cyrl-CS" w:eastAsia="sr-Cyrl-CS"/>
        </w:rPr>
        <w:t>Službeni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glasnik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RS</w:t>
      </w:r>
      <w:r w:rsidR="00803702" w:rsidRPr="0081246F">
        <w:rPr>
          <w:rStyle w:val="FontStyle23"/>
          <w:sz w:val="24"/>
          <w:szCs w:val="24"/>
          <w:lang w:val="sr-Cyrl-CS" w:eastAsia="sr-Cyrl-CS"/>
        </w:rPr>
        <w:t xml:space="preserve">“, </w:t>
      </w:r>
      <w:r>
        <w:rPr>
          <w:rStyle w:val="FontStyle23"/>
          <w:sz w:val="24"/>
          <w:szCs w:val="24"/>
          <w:lang w:val="sr-Cyrl-CS" w:eastAsia="sr-Cyrl-CS"/>
        </w:rPr>
        <w:t>broj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57/18)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osnovu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dve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inicijative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pokretanje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postupka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ocenu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ustavnosti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navedenih</w:t>
      </w:r>
      <w:r w:rsidR="00803702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odredaba</w:t>
      </w:r>
      <w:r w:rsidR="00803702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803702" w:rsidRPr="0081246F" w:rsidRDefault="00E72305" w:rsidP="00803702">
      <w:pPr>
        <w:pStyle w:val="Style7"/>
        <w:widowControl/>
        <w:spacing w:after="120" w:line="269" w:lineRule="exact"/>
        <w:ind w:firstLine="851"/>
        <w:rPr>
          <w:color w:val="000000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obrazloženju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Rešenja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Ustavni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sud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ocenio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član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23. </w:t>
      </w:r>
      <w:r>
        <w:rPr>
          <w:rStyle w:val="FontStyle23"/>
          <w:sz w:val="24"/>
          <w:szCs w:val="24"/>
          <w:lang w:val="sr-Cyrl-CS" w:eastAsia="sr-Cyrl-CS"/>
        </w:rPr>
        <w:t>Zakona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osporen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celosti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odnosu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odredbe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 23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.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25. </w:t>
      </w:r>
      <w:r>
        <w:rPr>
          <w:rStyle w:val="FontStyle23"/>
          <w:sz w:val="24"/>
          <w:szCs w:val="24"/>
          <w:lang w:val="sr-Cyrl-CS" w:eastAsia="sr-Cyrl-CS"/>
        </w:rPr>
        <w:t>Ustava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medicinski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postupak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uzimanja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živog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zbog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telo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drugog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radi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lečenja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uključujući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procedure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procenu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podobnosti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davaoca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procenu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podobnosti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pribavljanje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uzimanje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očuvanje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ozbiljne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neželjene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događaje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ozbiljne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neželjene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reakcije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prevoz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dodelu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hirurška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operacija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kojom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iz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tela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uklanja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nefunkcionalni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oštećeni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zamenjuje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funkcionalnim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kadaveričnih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predstavlja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uzimanje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davaoca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(</w:t>
      </w:r>
      <w:r>
        <w:rPr>
          <w:rStyle w:val="FontStyle23"/>
          <w:sz w:val="24"/>
          <w:szCs w:val="24"/>
          <w:lang w:val="sr-Cyrl-CS" w:eastAsia="sr-Cyrl-CS"/>
        </w:rPr>
        <w:t>donora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)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živih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davalaca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čemu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jedan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parni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(</w:t>
      </w:r>
      <w:r>
        <w:rPr>
          <w:rStyle w:val="FontStyle23"/>
          <w:sz w:val="24"/>
          <w:szCs w:val="24"/>
          <w:lang w:val="sr-Cyrl-CS" w:eastAsia="sr-Cyrl-CS"/>
        </w:rPr>
        <w:t>bubreg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) </w:t>
      </w:r>
      <w:r>
        <w:rPr>
          <w:rStyle w:val="FontStyle23"/>
          <w:sz w:val="24"/>
          <w:szCs w:val="24"/>
          <w:lang w:val="sr-Cyrl-CS" w:eastAsia="sr-Cyrl-CS"/>
        </w:rPr>
        <w:t>ili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deo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(</w:t>
      </w:r>
      <w:r>
        <w:rPr>
          <w:rStyle w:val="FontStyle23"/>
          <w:sz w:val="24"/>
          <w:szCs w:val="24"/>
          <w:lang w:val="sr-Cyrl-CS" w:eastAsia="sr-Cyrl-CS"/>
        </w:rPr>
        <w:t>režanj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jetre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pluća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). </w:t>
      </w:r>
      <w:r>
        <w:rPr>
          <w:rStyle w:val="FontStyle23"/>
          <w:sz w:val="24"/>
          <w:szCs w:val="24"/>
          <w:lang w:val="sr-Cyrl-CS" w:eastAsia="sr-Cyrl-CS"/>
        </w:rPr>
        <w:t>Živi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davaoci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uglavnom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rodbinskoj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vezi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primaocem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zasniva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uvažavanju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prioritetnih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interesa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očuvanje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života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zdravlja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zaštiti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osnovnih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prava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dostojanstva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davaoca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primaoca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postupak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jednog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više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živog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radi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telo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drugog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radi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lečenja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dobrovoljno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bez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novčane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naknade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podrazumeva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korišćenje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svrhu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lečenja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način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nefunkcionalni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zameni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funkcionalnim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davaoca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odnosno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donora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Danas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predstavlja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najisplativiji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oblik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lečenja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terminalnog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stadijuma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renalne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insuficijencije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kao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jedini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dostupan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oblik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lečenja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terminalnog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stadijuma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obolevanja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srca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b w:val="0"/>
          <w:spacing w:val="-10"/>
          <w:sz w:val="24"/>
          <w:szCs w:val="24"/>
          <w:lang w:val="sr-Cyrl-CS" w:eastAsia="sr-Cyrl-CS"/>
        </w:rPr>
        <w:t>jetre</w:t>
      </w:r>
      <w:r w:rsidR="00FB2D96" w:rsidRPr="0081246F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pluća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svetu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transplantacija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prihvaćen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uspešan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najčešće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jedini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vid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lečenja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bolesnika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kojih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došlo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nepovratnog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otkazivanja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funkcije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život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neophodnog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Više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milion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širom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sveta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osetilo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dobrobit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nakon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uspešno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obavljenih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Zahvaljujući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modernim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tehnikama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očuvanja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unapređenju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imunosupresije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mnogi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pacijenti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imaju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dug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visoko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kvalitetan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život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lastRenderedPageBreak/>
        <w:t>Presađivanjem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spasavaju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životi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osobama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kojih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došlo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akutnog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otkazivanja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postižu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značajne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uštede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zdravstvsnim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sistemima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završni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stadijum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insuficijencije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kao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što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jetra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pluća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srce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jedini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metod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lečenja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bubrega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najbolji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najadekvatniji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način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lečenja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bubrežne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insuficijencije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završnom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stadijumu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bolesti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iz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razloga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što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obezbeđuje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duže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preživljavanje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kvalitetniji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život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odnosu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lečenje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hemodijalizom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peritoneumskom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dijalizom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Nakon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obavljenog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bubrega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pacijenti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dobijaju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šansu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povratak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normalne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životne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tokove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uključujući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mogućnost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povratka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radne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sposobnosti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mlađih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transplantiranih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pacijenta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uspostavlja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reproduktivna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funkcija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tako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što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mogućnosti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ostvare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ulozi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roditelja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Godišnje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svetu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izvede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100.000 </w:t>
      </w:r>
      <w:r>
        <w:rPr>
          <w:rStyle w:val="FontStyle23"/>
          <w:sz w:val="24"/>
          <w:szCs w:val="24"/>
          <w:lang w:val="sr-Cyrl-CS" w:eastAsia="sr-Cyrl-CS"/>
        </w:rPr>
        <w:t>transplantacija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što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≤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10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%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globalnih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potreba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čemu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dalje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mnogi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bolesnici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ostaju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listama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čekanja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Dugi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vremenski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periodi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čekanja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mogu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dovedu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pogoršanja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opšteg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zdravstvenog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pacijenta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njegove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smrti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Ključni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podaci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iz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godišnjeg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evropskog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istraživanja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transplantaciji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ukazuju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tešku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situaciju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kojoj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nalaze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hiljade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evropskih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građana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2017. </w:t>
      </w:r>
      <w:r>
        <w:rPr>
          <w:rStyle w:val="FontStyle23"/>
          <w:sz w:val="24"/>
          <w:szCs w:val="24"/>
          <w:lang w:val="sr-Cyrl-CS" w:eastAsia="sr-Cyrl-CS"/>
        </w:rPr>
        <w:t>godini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višs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143.000 </w:t>
      </w:r>
      <w:r>
        <w:rPr>
          <w:rStyle w:val="FontStyle23"/>
          <w:sz w:val="24"/>
          <w:szCs w:val="24"/>
          <w:lang w:val="sr-Cyrl-CS" w:eastAsia="sr-Cyrl-CS"/>
        </w:rPr>
        <w:t>pacijenata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iz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država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članica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Saveta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Evrope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bilo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listama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čekanja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transplantaciju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što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više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5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%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odnosu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prethodnu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godinu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Iste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godine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dok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transplantirano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39.343 </w:t>
      </w:r>
      <w:r>
        <w:rPr>
          <w:rStyle w:val="FontStyle23"/>
          <w:sz w:val="24"/>
          <w:szCs w:val="24"/>
          <w:lang w:val="sr-Cyrl-CS" w:eastAsia="sr-Cyrl-CS"/>
        </w:rPr>
        <w:t>pacijenata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47.613 </w:t>
      </w:r>
      <w:r>
        <w:rPr>
          <w:rStyle w:val="FontStyle23"/>
          <w:sz w:val="24"/>
          <w:szCs w:val="24"/>
          <w:lang w:val="sr-Cyrl-CS" w:eastAsia="sr-Cyrl-CS"/>
        </w:rPr>
        <w:t>novih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pacijenata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dodato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listu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čekanja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što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ekvivalentno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ss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svakih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vremena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5 </w:t>
      </w:r>
      <w:r>
        <w:rPr>
          <w:rStyle w:val="FontStyle23"/>
          <w:sz w:val="24"/>
          <w:szCs w:val="24"/>
          <w:lang w:val="sr-Cyrl-CS" w:eastAsia="sr-Cyrl-CS"/>
        </w:rPr>
        <w:t>novih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pacijenta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listu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čekanja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Takođe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2017. </w:t>
      </w:r>
      <w:r>
        <w:rPr>
          <w:rStyle w:val="FontStyle23"/>
          <w:sz w:val="24"/>
          <w:szCs w:val="24"/>
          <w:lang w:val="sr-Cyrl-CS" w:eastAsia="sr-Cyrl-CS"/>
        </w:rPr>
        <w:t>godini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čekanja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6.702 </w:t>
      </w:r>
      <w:r>
        <w:rPr>
          <w:rStyle w:val="FontStyle23"/>
          <w:sz w:val="24"/>
          <w:szCs w:val="24"/>
          <w:lang w:val="sr-Cyrl-CS" w:eastAsia="sr-Cyrl-CS"/>
        </w:rPr>
        <w:t>pacijenta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što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znači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proseku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18 </w:t>
      </w:r>
      <w:r>
        <w:rPr>
          <w:rStyle w:val="FontStyle23"/>
          <w:sz w:val="24"/>
          <w:szCs w:val="24"/>
          <w:lang w:val="sr-Cyrl-CS" w:eastAsia="sr-Cyrl-CS"/>
        </w:rPr>
        <w:t>pacijenata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svaki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čekajući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transplantaciju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Postignuti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rezultati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evropskim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zemljama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polju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različiti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pored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činjenice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svakoj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postoji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jasno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definisan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zakonodavni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okvir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Broj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kadaveričnih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donora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milion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stanovnika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(</w:t>
      </w:r>
      <w:r w:rsidR="001A0976" w:rsidRPr="0081246F">
        <w:rPr>
          <w:rStyle w:val="FontStyle23"/>
          <w:sz w:val="24"/>
          <w:szCs w:val="24"/>
          <w:lang w:eastAsia="sr-Cyrl-CS"/>
        </w:rPr>
        <w:t>pmp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)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nejednako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raspoređena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unutar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Evropske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unije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(</w:t>
      </w:r>
      <w:r>
        <w:rPr>
          <w:rStyle w:val="FontStyle23"/>
          <w:sz w:val="24"/>
          <w:szCs w:val="24"/>
          <w:lang w:val="sr-Cyrl-CS" w:eastAsia="sr-Cyrl-CS"/>
        </w:rPr>
        <w:t>EU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)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tokom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2017. </w:t>
      </w:r>
      <w:r>
        <w:rPr>
          <w:rStyle w:val="FontStyle23"/>
          <w:sz w:val="24"/>
          <w:szCs w:val="24"/>
          <w:lang w:val="sr-Cyrl-CS" w:eastAsia="sr-Cyrl-CS"/>
        </w:rPr>
        <w:t>godine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kretao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0 </w:t>
      </w:r>
      <w:r>
        <w:rPr>
          <w:rStyle w:val="FontStyle23"/>
          <w:sz w:val="24"/>
          <w:szCs w:val="24"/>
          <w:lang w:val="sr-Cyrl-CS" w:eastAsia="sr-Cyrl-CS"/>
        </w:rPr>
        <w:t>do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34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4 </w:t>
      </w:r>
      <w:r>
        <w:rPr>
          <w:rStyle w:val="FontStyle23"/>
          <w:sz w:val="24"/>
          <w:szCs w:val="24"/>
          <w:lang w:val="sr-Cyrl-CS" w:eastAsia="sr-Cyrl-CS"/>
        </w:rPr>
        <w:t>donora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milion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osoba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nacionalnom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nivou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Epidemija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dijabetesa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arterijske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hipertenzije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kao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opšti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trend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starenja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stanovništva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rezultiralo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povećanim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potrebama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presađivanjem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1A0976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tako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mnogo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više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može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očekivati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dobrobit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nakon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uspešno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obavljenog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sprovođenja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uobičajenih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terapijskih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protokola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lečenju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hroničnih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bolesti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Neophodno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države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razmotre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različite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nacionalne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strategije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kako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smanjila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nesrazmera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između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potreba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realnih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mogućnosti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dobijanjem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prvog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uspešnog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bubrega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1954. </w:t>
      </w:r>
      <w:r>
        <w:rPr>
          <w:rStyle w:val="FontStyle23"/>
          <w:sz w:val="24"/>
          <w:szCs w:val="24"/>
          <w:lang w:val="sr-Cyrl-CS" w:eastAsia="sr-Cyrl-CS"/>
        </w:rPr>
        <w:t>godine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presađivanjem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spasio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unapredio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kvalitet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života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hiljadama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pacijenata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obavlja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kao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standardna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medicinska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procedura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 w:rsidR="00FB2D96" w:rsidRPr="0081246F">
        <w:rPr>
          <w:rStyle w:val="FontStyle19"/>
          <w:rFonts w:ascii="Times New Roman" w:hAnsi="Times New Roman" w:cs="Times New Roman"/>
          <w:sz w:val="24"/>
          <w:szCs w:val="24"/>
          <w:lang w:val="sr-Cyrl-CS" w:eastAsia="sr-Cyrl-CS"/>
        </w:rPr>
        <w:t xml:space="preserve">111 </w:t>
      </w:r>
      <w:r>
        <w:rPr>
          <w:rStyle w:val="FontStyle23"/>
          <w:sz w:val="24"/>
          <w:szCs w:val="24"/>
          <w:lang w:val="sr-Cyrl-CS" w:eastAsia="sr-Cyrl-CS"/>
        </w:rPr>
        <w:t>zemalja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sveta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Prema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bazi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podataka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Globalne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opservatorije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donaciji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transplantaciji</w:t>
      </w:r>
      <w:r w:rsidR="00A0232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2017. </w:t>
      </w:r>
      <w:r>
        <w:rPr>
          <w:rStyle w:val="FontStyle23"/>
          <w:sz w:val="24"/>
          <w:szCs w:val="24"/>
          <w:lang w:val="sr-Cyrl-CS" w:eastAsia="sr-Cyrl-CS"/>
        </w:rPr>
        <w:t>godini</w:t>
      </w:r>
      <w:r w:rsidR="00A0232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svetu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obavljeno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ukupno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139.024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b w:val="0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4"/>
          <w:sz w:val="24"/>
          <w:szCs w:val="24"/>
          <w:lang w:val="sr-Cyrl-CS" w:eastAsia="sr-Cyrl-CS"/>
        </w:rPr>
        <w:t xml:space="preserve"> 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(</w:t>
      </w:r>
      <w:r>
        <w:rPr>
          <w:rStyle w:val="FontStyle23"/>
          <w:sz w:val="24"/>
          <w:szCs w:val="24"/>
          <w:lang w:val="sr-Cyrl-CS" w:eastAsia="sr-Cyrl-CS"/>
        </w:rPr>
        <w:t>bubrezi</w:t>
      </w:r>
      <w:r w:rsidR="00A0232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jetra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srce</w:t>
      </w:r>
      <w:r w:rsidR="00A0232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pluća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pankreas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6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b w:val="0"/>
          <w:sz w:val="24"/>
          <w:szCs w:val="24"/>
          <w:lang w:val="sr-Cyrl-CS" w:eastAsia="sr-Cyrl-CS"/>
        </w:rPr>
        <w:t>tanko</w:t>
      </w:r>
      <w:r w:rsidR="00FB2D96" w:rsidRPr="0081246F">
        <w:rPr>
          <w:rStyle w:val="FontStyle24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crevo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),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čega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bilo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90.306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bubrega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32.348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jetre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7.881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srca</w:t>
      </w:r>
      <w:r w:rsidR="00A0232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6.084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pluća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2.243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pankreasa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6"/>
          <w:sz w:val="24"/>
          <w:szCs w:val="24"/>
          <w:lang w:val="sr-Cyrl-CS" w:eastAsia="sr-Cyrl-CS"/>
        </w:rPr>
        <w:t xml:space="preserve"> 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162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tankog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creva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Svetska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zdravstvena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organizacija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(</w:t>
      </w:r>
      <w:r>
        <w:rPr>
          <w:rStyle w:val="FontStyle23"/>
          <w:sz w:val="24"/>
          <w:szCs w:val="24"/>
          <w:lang w:val="sr-Cyrl-CS" w:eastAsia="sr-Cyrl-CS"/>
        </w:rPr>
        <w:t>SZO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) </w:t>
      </w:r>
      <w:r>
        <w:rPr>
          <w:rStyle w:val="FontStyle23"/>
          <w:sz w:val="24"/>
          <w:szCs w:val="24"/>
          <w:lang w:val="sr-Cyrl-CS" w:eastAsia="sr-Cyrl-CS"/>
        </w:rPr>
        <w:t>pozvala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usvajanje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novih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opštih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pravila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kojima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vlade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država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preuzele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odgovornost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ispunjavanju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potreba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stanovništva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transplantaciju</w:t>
      </w:r>
      <w:r w:rsidR="00A0232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pristupom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resursima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okviru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sopstvene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populacije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Ovaj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koncept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nazvan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nacionalna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samodovoljnost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Vlade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odnosno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nacionalni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autoriteti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treba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sistemski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zadovolje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svoje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nacionalne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potrebe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skladu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nacionalnim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pravnim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okvirom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S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vezi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potrebno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implementirati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medicinske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strategije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sprečile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terminalne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faze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obolevanja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otkazivanja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Države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treba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obezbede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4"/>
          <w:b w:val="0"/>
          <w:sz w:val="24"/>
          <w:szCs w:val="24"/>
          <w:lang w:val="sr-Cyrl-CS" w:eastAsia="sr-Cyrl-CS"/>
        </w:rPr>
        <w:t>dovoljan</w:t>
      </w:r>
      <w:r w:rsidR="00FB2D96" w:rsidRPr="0081246F">
        <w:rPr>
          <w:rStyle w:val="FontStyle24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broj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potrebe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sopstvenog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stanovništva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imajući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vidu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Madridsku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rezoluciju</w:t>
      </w:r>
      <w:r w:rsidR="00A0232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Istanbulsku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deklaraciju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lastRenderedPageBreak/>
        <w:t>Rezoluciju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63. </w:t>
      </w:r>
      <w:r>
        <w:rPr>
          <w:rStyle w:val="FontStyle23"/>
          <w:sz w:val="24"/>
          <w:szCs w:val="24"/>
          <w:lang w:val="sr-Cyrl-CS" w:eastAsia="sr-Cyrl-CS"/>
        </w:rPr>
        <w:t>Skupštine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SZO</w:t>
      </w:r>
      <w:r w:rsidR="00A0232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uz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poštovanje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etičkih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principa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Svetske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zdravstvene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organizacije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Oblast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Republici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Srbiji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pravno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regulisana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Zakonom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(„</w:t>
      </w:r>
      <w:r>
        <w:rPr>
          <w:rStyle w:val="FontStyle23"/>
          <w:sz w:val="24"/>
          <w:szCs w:val="24"/>
          <w:lang w:val="sr-Cyrl-CS" w:eastAsia="sr-Cyrl-CS"/>
        </w:rPr>
        <w:t>Službeni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glasnik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RS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"</w:t>
      </w:r>
      <w:r w:rsidR="00A0232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broj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57/18 -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daljem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tekstu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: </w:t>
      </w:r>
      <w:r>
        <w:rPr>
          <w:rStyle w:val="FontStyle23"/>
          <w:sz w:val="24"/>
          <w:szCs w:val="24"/>
          <w:lang w:val="sr-Cyrl-CS" w:eastAsia="sr-Cyrl-CS"/>
        </w:rPr>
        <w:t>Zakon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). </w:t>
      </w:r>
      <w:r>
        <w:rPr>
          <w:rStyle w:val="FontStyle23"/>
          <w:sz w:val="24"/>
          <w:szCs w:val="24"/>
          <w:lang w:val="sr-Cyrl-CS" w:eastAsia="sr-Cyrl-CS"/>
        </w:rPr>
        <w:t>Ovim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zakonom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oblast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sistemski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potpuno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uređena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utvrđeni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obezbeđeni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uslovi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postizanje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standarda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kvaliteta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6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bezbednosti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A0232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kao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uslovi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rada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načina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organizacije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zdravstvenog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sistema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sz w:val="24"/>
          <w:szCs w:val="24"/>
          <w:lang w:val="sr-Cyrl-CS" w:eastAsia="sr-Cyrl-CS"/>
        </w:rPr>
        <w:t>cilju</w:t>
      </w:r>
      <w:r w:rsidR="00FB2D96" w:rsidRPr="0081246F">
        <w:rPr>
          <w:rStyle w:val="FontStyle26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sz w:val="24"/>
          <w:szCs w:val="24"/>
          <w:lang w:val="sr-Cyrl-CS" w:eastAsia="sr-Cyrl-CS"/>
        </w:rPr>
        <w:t>obezbeđivanja</w:t>
      </w:r>
      <w:r w:rsidR="00FB2D96" w:rsidRPr="0081246F">
        <w:rPr>
          <w:rStyle w:val="FontStyle26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optimalne</w:t>
      </w:r>
      <w:r w:rsidR="00A02322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dovoljnosti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obezbeđivanje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visokog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nivoa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zaštite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zdravlja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kao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uvažavanja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prioritetnih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interesa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očuvanje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života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zdravlja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zaštite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osnovnih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prava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dostojanstva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davaoca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primaoca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Zakonom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obezbeđuju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osnove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usnostavljanje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organizacionog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sistema</w:t>
      </w:r>
      <w:r w:rsidR="00A0232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utvrđuju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efikasne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procedure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skladu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profesionalnim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standardima</w:t>
      </w:r>
      <w:r w:rsidR="00A0232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stručnim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smernicama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etičkim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načelima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savremenim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standardima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medicinske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nauke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6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prakse</w:t>
      </w:r>
      <w:r w:rsidR="00A0232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kao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6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osnove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kvaliteta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6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bezbednosti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Zakon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pružio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mogućnost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svakom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punoletnom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građaninu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Republike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Srbije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zabrani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pismenom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usmenom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obliku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svojih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A0232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kao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mogućnost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članovima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porodice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učine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ukoliko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života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izjasnilo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želi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donira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svoje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Zakon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pružio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mogućnost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kada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maloletni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građani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pitanju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zakonski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zastupnik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staratelj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zabrani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Pored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navedenog</w:t>
      </w:r>
      <w:r w:rsidR="00A0232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Zakon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potpunosti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usaglašen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direktivama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EU</w:t>
      </w:r>
      <w:r w:rsidR="00A0232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to</w:t>
      </w:r>
      <w:r w:rsidR="00FB2D96" w:rsidRPr="0081246F">
        <w:rPr>
          <w:rStyle w:val="FontStyle28"/>
          <w:sz w:val="24"/>
          <w:szCs w:val="24"/>
          <w:lang w:val="sr-Cyrl-CS" w:eastAsia="sr-Cyrl-CS"/>
        </w:rPr>
        <w:t xml:space="preserve">: </w:t>
      </w:r>
      <w:r>
        <w:rPr>
          <w:rStyle w:val="FontStyle23"/>
          <w:sz w:val="24"/>
          <w:szCs w:val="24"/>
          <w:lang w:val="sr-Cyrl-CS" w:eastAsia="sr-Cyrl-CS"/>
        </w:rPr>
        <w:t>Direktivom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2010/53/</w:t>
      </w:r>
      <w:r>
        <w:rPr>
          <w:rStyle w:val="FontStyle23"/>
          <w:sz w:val="24"/>
          <w:szCs w:val="24"/>
          <w:lang w:val="sr-Cyrl-CS" w:eastAsia="sr-Cyrl-CS"/>
        </w:rPr>
        <w:t>EU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Evropskog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Parlamenta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Saveta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7. </w:t>
      </w:r>
      <w:r>
        <w:rPr>
          <w:rStyle w:val="FontStyle23"/>
          <w:sz w:val="24"/>
          <w:szCs w:val="24"/>
          <w:lang w:val="sr-Cyrl-CS" w:eastAsia="sr-Cyrl-CS"/>
        </w:rPr>
        <w:t>jula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2010. </w:t>
      </w:r>
      <w:r>
        <w:rPr>
          <w:rStyle w:val="FontStyle23"/>
          <w:sz w:val="24"/>
          <w:szCs w:val="24"/>
          <w:lang w:val="sr-Cyrl-CS" w:eastAsia="sr-Cyrl-CS"/>
        </w:rPr>
        <w:t>godine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standardima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kvaliteta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bezbednosti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namenjeni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transplantaciji</w:t>
      </w:r>
      <w:r w:rsidR="00E66BE2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Direktivom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2012/25/</w:t>
      </w:r>
      <w:r>
        <w:rPr>
          <w:rStyle w:val="FontStyle23"/>
          <w:sz w:val="24"/>
          <w:szCs w:val="24"/>
          <w:lang w:val="sr-Cyrl-CS" w:eastAsia="sr-Cyrl-CS"/>
        </w:rPr>
        <w:t>EU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8"/>
          <w:sz w:val="24"/>
          <w:szCs w:val="24"/>
          <w:lang w:val="sr-Cyrl-CS" w:eastAsia="sr-Cyrl-CS"/>
        </w:rPr>
        <w:t xml:space="preserve"> 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9. </w:t>
      </w:r>
      <w:r>
        <w:rPr>
          <w:rStyle w:val="FontStyle23"/>
          <w:sz w:val="24"/>
          <w:szCs w:val="24"/>
          <w:lang w:val="sr-Cyrl-CS" w:eastAsia="sr-Cyrl-CS"/>
        </w:rPr>
        <w:t>oktobra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2012. </w:t>
      </w:r>
      <w:r>
        <w:rPr>
          <w:rStyle w:val="FontStyle23"/>
          <w:sz w:val="24"/>
          <w:szCs w:val="24"/>
          <w:lang w:val="sr-Cyrl-CS" w:eastAsia="sr-Cyrl-CS"/>
        </w:rPr>
        <w:t>godine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kojom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utvrđuju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procedure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informisanja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razmenu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namenjenih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transplantaciju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između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država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članica</w:t>
      </w:r>
      <w:r w:rsidR="00E66BE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kao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Zakonom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potvrđivanju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konvencije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zaštiti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prava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dostojanstva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ljudskog</w:t>
      </w:r>
      <w:r w:rsidR="00E66BE2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bića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pogledu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primene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biologije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medicine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: </w:t>
      </w:r>
      <w:r>
        <w:rPr>
          <w:rStyle w:val="FontStyle23"/>
          <w:sz w:val="24"/>
          <w:szCs w:val="24"/>
          <w:lang w:val="sr-Cyrl-CS" w:eastAsia="sr-Cyrl-CS"/>
        </w:rPr>
        <w:t>Konvencija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pravima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biomedicini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(„</w:t>
      </w:r>
      <w:r>
        <w:rPr>
          <w:rStyle w:val="FontStyle23"/>
          <w:sz w:val="24"/>
          <w:szCs w:val="24"/>
          <w:lang w:val="sr-Cyrl-CS" w:eastAsia="sr-Cyrl-CS"/>
        </w:rPr>
        <w:t>Službeni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glasnik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RS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- </w:t>
      </w:r>
      <w:r>
        <w:rPr>
          <w:rStyle w:val="FontStyle23"/>
          <w:sz w:val="24"/>
          <w:szCs w:val="24"/>
          <w:lang w:val="sr-Cyrl-CS" w:eastAsia="sr-Cyrl-CS"/>
        </w:rPr>
        <w:t>Međunarodni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ugovori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'', </w:t>
      </w:r>
      <w:r>
        <w:rPr>
          <w:rStyle w:val="FontStyle23"/>
          <w:sz w:val="24"/>
          <w:szCs w:val="24"/>
          <w:lang w:val="sr-Cyrl-CS" w:eastAsia="sr-Cyrl-CS"/>
        </w:rPr>
        <w:t>broj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12/10).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Međunarodnim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sporazumima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nacionalnim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zakonima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postavljen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pravni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okvir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oblast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obavlja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svakoj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zemalja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Važno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definisati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protokole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dijagnostikovanje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moždane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smrti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razmenu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informacija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standardne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operativne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procedure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dobijanje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saglasnosti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kao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alokacione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modele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Program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živi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proces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koji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kontinuitetu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razvija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menja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kojim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podižu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medicinski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nivoi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sinhronizovano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funkcionisanje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neophodno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svakom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uređenom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zdravstvenom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sistemu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uspešnost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garantuje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dobar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nacionalni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program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integraciju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međunarodnu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transplantacijsku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zajednicu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color w:val="000000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Zakonom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propisano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uzimanje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zbog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drugom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može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izvršiti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strogo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kontrolisanim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uslovima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isključivo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posle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dijagnostikovanja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utvrđivanja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moždane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smrti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osnovu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medicinskih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kriterijuma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Smrt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utvrđuje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komisija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zdravstvene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ustanove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sastavljena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najmanje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doktora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medicine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odgovarajućih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specijalnosti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Doktor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medicine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učestvuje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uzimanju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odgovoran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brigu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potencijalnim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primaocima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može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učestvovati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utvrđivanju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smrti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mozga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niti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biti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član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pomenute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komisije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Svaka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zdravstvena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ustanova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jedinicom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inteizivnog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lečenja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odnosno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zdravstvena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ustanova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uspostavlja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sistem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efikasne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procedure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odnosno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pribavljanje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skladu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savremenim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medicinskim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dostignućima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najvišim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profesionalnim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standardima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Zdravstvena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ustanova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E66BE2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stacionarna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zdravstvena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ustanova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(</w:t>
      </w:r>
      <w:r>
        <w:rPr>
          <w:rStyle w:val="FontStyle23"/>
          <w:sz w:val="24"/>
          <w:szCs w:val="24"/>
          <w:lang w:val="sr-Cyrl-CS" w:eastAsia="sr-Cyrl-CS"/>
        </w:rPr>
        <w:t>donor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bolnica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),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kojoj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obavljaju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lastRenderedPageBreak/>
        <w:t>postupci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poslovi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pribavljanja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odnosno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uzimanja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namenjenih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Zdravstvena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ustanova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raspolaže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kvalifikovanim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kadrom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opremom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prostorom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kojem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obavljaju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poslovi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utvrđivanja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smrti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obezbeđenja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odgovarajućeg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pristanka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E66BE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optimalno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zbrinjavanje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održavanje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vitalnosti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davaoca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procenu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podobnosti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davaoca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kao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brze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dostupnosti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odgovarajućih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informacija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potrebe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državne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međunarodne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razmene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Članom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24. </w:t>
      </w:r>
      <w:r>
        <w:rPr>
          <w:rStyle w:val="FontStyle23"/>
          <w:sz w:val="24"/>
          <w:szCs w:val="24"/>
          <w:lang w:val="sr-Cyrl-CS" w:eastAsia="sr-Cyrl-CS"/>
        </w:rPr>
        <w:t>Zakona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propisano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uzimanja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kojeg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utvrđena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smrt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doktor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medicine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vodi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uzimanje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dužan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zajedno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koordinatorom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iz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zdravstvene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ustanove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proveri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identitet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davaoca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uslove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pristanka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odnosno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nepostojanje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protivljenja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Način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provere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identiteta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pristanka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obavlja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skladu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standardnom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operativnom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procedurom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centra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Pri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uzimanju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(</w:t>
      </w:r>
      <w:r>
        <w:rPr>
          <w:rStyle w:val="FontStyle23"/>
          <w:sz w:val="24"/>
          <w:szCs w:val="24"/>
          <w:lang w:val="sr-Cyrl-CS" w:eastAsia="sr-Cyrl-CS"/>
        </w:rPr>
        <w:t>eksplantaciji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) </w:t>
      </w:r>
      <w:r>
        <w:rPr>
          <w:rStyle w:val="FontStyle23"/>
          <w:sz w:val="24"/>
          <w:szCs w:val="24"/>
          <w:lang w:val="sr-Cyrl-CS" w:eastAsia="sr-Cyrl-CS"/>
        </w:rPr>
        <w:t>telo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davaoca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tretira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poštovanjem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dostojanstva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porodice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preduzimaju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potrebne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mere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kako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povratio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spoljašnji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izgled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davaoca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potrebnu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brigu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telu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davaoca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nakon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uzimanja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zadužen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uzimanje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Standardna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operativna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procedura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dobijanje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saglasnosti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izrađena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skladu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članom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24. </w:t>
      </w:r>
      <w:r>
        <w:rPr>
          <w:rStyle w:val="FontStyle23"/>
          <w:sz w:val="24"/>
          <w:szCs w:val="24"/>
          <w:lang w:val="sr-Cyrl-CS" w:eastAsia="sr-Cyrl-CS"/>
        </w:rPr>
        <w:t>stav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2. </w:t>
      </w:r>
      <w:r>
        <w:rPr>
          <w:rStyle w:val="FontStyle23"/>
          <w:sz w:val="24"/>
          <w:szCs w:val="24"/>
          <w:lang w:val="sr-Cyrl-CS" w:eastAsia="sr-Cyrl-CS"/>
        </w:rPr>
        <w:t>Zakona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jedinstveni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obavezujući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dokument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primenjuje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centrima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Prema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standardnoj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operativnoj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proceduri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dobijanje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saglasnosti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nakon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utvrđene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potvrđene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moždane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smrti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koordinator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(</w:t>
      </w:r>
      <w:r>
        <w:rPr>
          <w:rStyle w:val="FontStyle23"/>
          <w:sz w:val="24"/>
          <w:szCs w:val="24"/>
          <w:lang w:val="sr-Cyrl-CS" w:eastAsia="sr-Cyrl-CS"/>
        </w:rPr>
        <w:t>transplantacioni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koordinator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) </w:t>
      </w:r>
      <w:r>
        <w:rPr>
          <w:rStyle w:val="FontStyle23"/>
          <w:sz w:val="24"/>
          <w:szCs w:val="24"/>
          <w:lang w:val="sr-Cyrl-CS" w:eastAsia="sr-Cyrl-CS"/>
        </w:rPr>
        <w:t>kontaktira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Upravu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biomedicinu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prijavljuje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potencijalnog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davaoca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AF73C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odnosno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donora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Nakon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toga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Upravi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biomedicinu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proverava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evidencija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pisanim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putem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putem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mejla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izjasnila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žele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budu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davaoci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odnosno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tkiva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Ukoliko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nalazi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evidencionoj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Uprave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biomedicinu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kao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izjasnilo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želi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daruje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svoje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tkiva</w:t>
      </w:r>
      <w:r w:rsidR="00AF73C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koordinator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transplantacionog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centra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pristupa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razgovoru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porodicom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pitanjem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postoji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bilo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kakvo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saznanje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porodici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stavu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Ukoliko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postoji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najmanja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naznaka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strane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članova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porodice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usmeno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izjasnilo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želi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bude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davalac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AF73C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imalo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negativan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stav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tome</w:t>
      </w:r>
      <w:r w:rsidR="00AF73C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koordinator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prekida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aktivnosti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smislu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dobijanja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saglasnosti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darivanje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Ukoliko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potvrdi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života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izjasnilo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želi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bude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davalac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odnosno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tkiva</w:t>
      </w:r>
      <w:r w:rsidR="00AF73C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putem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pismene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izjave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mejlom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procedura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realizacije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potencijalnog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donora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prekida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druge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strane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ukoliko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pismenog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dokaza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takvoj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izričitoj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želji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kao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potvrde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porodice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negativnom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stavu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njihovog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člana</w:t>
      </w:r>
      <w:r w:rsidR="00AF73C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nastavlja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procedurom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realizacije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potencijalnog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donora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Obavezno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obavlja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razgovor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porodicom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kome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koordinator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detaljno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precizno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informiše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članove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najuže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porodice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trenutku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nastupanja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smrti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pacijenta</w:t>
      </w:r>
      <w:r w:rsidR="00AF73C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pruža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relevantne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podatke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toku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ishodu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lečenja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te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obaveštava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najbliže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srodnike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mogućnosti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član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njihove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porodice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bude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davalac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Identitet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članova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porodice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utvrđuje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osnovu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ličnih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dokumenata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pri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čemu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obavezno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vodi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Zapisnik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obavljenom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razgovoru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Koordinator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prilikom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napominje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postojećoj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evidenciji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nedavalaca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nije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potvrđen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podatak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života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odlučilo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želi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bude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davalac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svojih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AF73C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odnosno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tkiva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postavlja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pitanje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bilo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članova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porodice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saznanja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zaživotnim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stavovima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njihovog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umrlog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pitanju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rStyle w:val="FontStyle23"/>
          <w:sz w:val="24"/>
          <w:szCs w:val="24"/>
          <w:lang w:val="sr-Cyrl-CS" w:eastAsia="sr-Cyrl-CS"/>
        </w:rPr>
      </w:pPr>
      <w:r>
        <w:rPr>
          <w:rStyle w:val="FontStyle23"/>
          <w:sz w:val="24"/>
          <w:szCs w:val="24"/>
          <w:lang w:val="sr-Cyrl-CS" w:eastAsia="sr-Cyrl-CS"/>
        </w:rPr>
        <w:t>Istovremeno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postavlja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pitanje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najužim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članovima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porodice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njihovom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stavu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njihov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član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bude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davalac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AF73C2" w:rsidRPr="0081246F">
        <w:rPr>
          <w:rStyle w:val="FontStyle23"/>
          <w:sz w:val="24"/>
          <w:szCs w:val="24"/>
          <w:lang w:val="sr-Cyrl-CS" w:eastAsia="sr-Cyrl-CS"/>
        </w:rPr>
        <w:t>,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odnosno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tkiva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datom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trenutku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koordinator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za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lastRenderedPageBreak/>
        <w:t>presađivanje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prepušta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porodici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razmisli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odluči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žele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njihov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umrli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član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bude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davalac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ljudskih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organa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.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dalju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proceduru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ide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isključivo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nakon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odobrenja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porodice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sz w:val="24"/>
          <w:szCs w:val="24"/>
          <w:lang w:val="sr-Cyrl-CS" w:eastAsia="sr-Cyrl-CS"/>
        </w:rPr>
        <w:t>pri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čemu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koordinatori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insistiraju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odluka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porodice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mora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biti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jednoglasna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dalju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proceduru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ide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samo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ukoliko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svi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članovi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porodice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slože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po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tom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sz w:val="24"/>
          <w:szCs w:val="24"/>
          <w:lang w:val="sr-Cyrl-CS" w:eastAsia="sr-Cyrl-CS"/>
        </w:rPr>
        <w:t>pitanju</w:t>
      </w:r>
      <w:r w:rsidR="00FB2D96" w:rsidRPr="0081246F">
        <w:rPr>
          <w:rStyle w:val="FontStyle23"/>
          <w:sz w:val="24"/>
          <w:szCs w:val="24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Odluka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porodice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unosi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poseban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obrazac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koji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zajedno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Zapisnikom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obavljenom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razgovoru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deo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dokumentacije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predstavlja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dokaz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vođenom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razgovoru</w:t>
      </w:r>
      <w:r w:rsidR="00FB2D96" w:rsidRPr="0081246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ali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krajnjoj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odluci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porodice</w:t>
      </w:r>
      <w:r w:rsidR="00FB2D96" w:rsidRPr="0081246F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Porodici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ostavljena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mogućnost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saglasnost</w:t>
      </w:r>
      <w:r w:rsidR="00FB2D96" w:rsidRPr="0081246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da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istu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odbije</w:t>
      </w:r>
      <w:r w:rsidR="00FB2D96" w:rsidRPr="0081246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ili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naknadno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povuče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dok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nastavi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daljom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procedurom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presađivanja</w:t>
      </w:r>
      <w:r w:rsidR="00AF73C2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ljudskih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organa</w:t>
      </w:r>
      <w:r w:rsidR="00FB2D96" w:rsidRPr="0081246F">
        <w:rPr>
          <w:color w:val="000000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slučaju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negativnog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odgovora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RS" w:eastAsia="sr-Cyrl-CS"/>
        </w:rPr>
        <w:t>p</w:t>
      </w:r>
      <w:r>
        <w:rPr>
          <w:color w:val="000000"/>
          <w:lang w:val="sr-Cyrl-CS" w:eastAsia="sr-Cyrl-CS"/>
        </w:rPr>
        <w:t>orodice</w:t>
      </w:r>
      <w:r w:rsidR="00FB2D96" w:rsidRPr="0081246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procedura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realizacije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potencijalnog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davaoca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ljudskih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organa</w:t>
      </w:r>
      <w:r w:rsidR="00FB2D96" w:rsidRPr="0081246F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odnosno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donora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obustavlja</w:t>
      </w:r>
      <w:r w:rsidR="00FB2D96" w:rsidRPr="0081246F">
        <w:rPr>
          <w:bCs/>
          <w:color w:val="000000"/>
          <w:lang w:val="sr-Cyrl-CS" w:eastAsia="sr-Cyrl-CS"/>
        </w:rPr>
        <w:t>.</w:t>
      </w:r>
      <w:r w:rsidR="00FB2D96" w:rsidRPr="0081246F">
        <w:rPr>
          <w:b/>
          <w:bCs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slučaju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umrlo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lice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nema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porodicu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niko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pojavi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razgovoru</w:t>
      </w:r>
      <w:r w:rsidR="00AF73C2" w:rsidRPr="0081246F">
        <w:rPr>
          <w:color w:val="000000"/>
          <w:lang w:val="sr-Cyrl-CS" w:eastAsia="sr-Cyrl-CS"/>
        </w:rPr>
        <w:t>,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takođe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odustaje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procedure</w:t>
      </w:r>
      <w:r w:rsidR="00FB2D96" w:rsidRPr="0081246F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Ukoliko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dobije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pozitivan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odgovor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porodice</w:t>
      </w:r>
      <w:r w:rsidR="00AF73C2" w:rsidRPr="0081246F">
        <w:rPr>
          <w:color w:val="000000"/>
          <w:lang w:val="sr-Cyrl-CS" w:eastAsia="sr-Cyrl-CS"/>
        </w:rPr>
        <w:t>,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nastavlja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procedurom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rsalizacije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potencijalnog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davaoca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ljudskih</w:t>
      </w:r>
      <w:r w:rsidR="00FB2D96" w:rsidRPr="0081246F">
        <w:rPr>
          <w:b/>
          <w:bCs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organa</w:t>
      </w:r>
      <w:r w:rsidR="00AF73C2" w:rsidRPr="0081246F">
        <w:rPr>
          <w:color w:val="000000"/>
          <w:lang w:val="sr-Cyrl-CS" w:eastAsia="sr-Cyrl-CS"/>
        </w:rPr>
        <w:t>,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odnosno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donora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potom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transplantacije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nakon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obavljenih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neophodnih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analiza</w:t>
      </w:r>
      <w:r w:rsidR="00FB2D96" w:rsidRPr="0081246F">
        <w:rPr>
          <w:color w:val="000000"/>
          <w:lang w:val="sr-Cyrl-CS" w:eastAsia="sr-Cyrl-CS"/>
        </w:rPr>
        <w:t>.</w:t>
      </w:r>
    </w:p>
    <w:p w:rsidR="007C5372" w:rsidRPr="0081246F" w:rsidRDefault="00E72305" w:rsidP="007C5372">
      <w:pPr>
        <w:pStyle w:val="Style7"/>
        <w:widowControl/>
        <w:spacing w:after="120" w:line="269" w:lineRule="exact"/>
        <w:ind w:firstLine="851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prilog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svemu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navedenom</w:t>
      </w:r>
      <w:r w:rsidR="00AF73C2" w:rsidRPr="0081246F">
        <w:rPr>
          <w:color w:val="000000"/>
          <w:lang w:val="sr-Cyrl-CS" w:eastAsia="sr-Cyrl-CS"/>
        </w:rPr>
        <w:t>,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imajući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vidu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značaj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presađivanja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ljudskih</w:t>
      </w:r>
      <w:r w:rsidR="00FB2D96" w:rsidRPr="0081246F">
        <w:rPr>
          <w:b/>
          <w:bCs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organa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treba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istaći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prema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Helsinškoj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deklaraciji</w:t>
      </w:r>
      <w:r w:rsidR="00FB2D96" w:rsidRPr="0081246F">
        <w:rPr>
          <w:color w:val="000000"/>
          <w:lang w:val="sr-Cyrl-CS" w:eastAsia="sr-Cyrl-CS"/>
        </w:rPr>
        <w:t xml:space="preserve"> (</w:t>
      </w:r>
      <w:r w:rsidR="00FB2D96" w:rsidRPr="0081246F">
        <w:rPr>
          <w:color w:val="000000"/>
          <w:lang w:val="sr-Latn-RS" w:eastAsia="sr-Cyrl-CS"/>
        </w:rPr>
        <w:t>Declaration of Helsinski)</w:t>
      </w:r>
      <w:r w:rsidR="00FB2D96" w:rsidRPr="0081246F">
        <w:rPr>
          <w:b/>
          <w:bCs/>
          <w:color w:val="000000"/>
          <w:spacing w:val="-1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broj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transplantacija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organa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umrlih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lica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označava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merilo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razvijenosti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jednog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društva</w:t>
      </w:r>
      <w:r w:rsidR="00FB2D96" w:rsidRPr="0081246F">
        <w:rPr>
          <w:color w:val="000000"/>
          <w:lang w:val="sr-Cyrl-CS" w:eastAsia="sr-Cyrl-CS"/>
        </w:rPr>
        <w:t>.</w:t>
      </w:r>
    </w:p>
    <w:p w:rsidR="00803702" w:rsidRPr="0081246F" w:rsidRDefault="00E72305" w:rsidP="0081246F">
      <w:pPr>
        <w:pStyle w:val="Style7"/>
        <w:widowControl/>
        <w:spacing w:after="120" w:line="269" w:lineRule="exact"/>
        <w:ind w:firstLine="851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navedenim</w:t>
      </w:r>
      <w:r w:rsidR="00803702" w:rsidRPr="0081246F">
        <w:rPr>
          <w:color w:val="000000"/>
          <w:lang w:val="sr-Cyrl-CS" w:eastAsia="sr-Cyrl-CS"/>
        </w:rPr>
        <w:t>,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Odbor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mišljenja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odredbama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člana</w:t>
      </w:r>
      <w:r w:rsidR="00FB2D96" w:rsidRPr="0081246F">
        <w:rPr>
          <w:color w:val="000000"/>
          <w:lang w:val="sr-Cyrl-CS" w:eastAsia="sr-Cyrl-CS"/>
        </w:rPr>
        <w:t xml:space="preserve"> 23. </w:t>
      </w:r>
      <w:r>
        <w:rPr>
          <w:color w:val="000000"/>
          <w:lang w:val="sr-Cyrl-CS" w:eastAsia="sr-Cyrl-CS"/>
        </w:rPr>
        <w:t>Zakona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presađivanju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ljudskih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organa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ne</w:t>
      </w:r>
      <w:r w:rsidR="00FB2D96" w:rsidRPr="0081246F">
        <w:rPr>
          <w:b/>
          <w:bCs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postoje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elementi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kršenja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ljudskih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prava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dostojanstva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ljudskog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bića</w:t>
      </w:r>
      <w:r w:rsidR="00FB2D96" w:rsidRPr="0081246F">
        <w:rPr>
          <w:color w:val="000000"/>
          <w:lang w:val="sr-Cyrl-CS" w:eastAsia="sr-Cyrl-CS"/>
        </w:rPr>
        <w:t xml:space="preserve">. </w:t>
      </w:r>
      <w:r>
        <w:rPr>
          <w:color w:val="000000"/>
          <w:lang w:val="sr-Cyrl-CS" w:eastAsia="sr-Cyrl-CS"/>
        </w:rPr>
        <w:t>Navedene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odredbe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su</w:t>
      </w:r>
      <w:r w:rsidR="00FB2D96" w:rsidRPr="0081246F">
        <w:rPr>
          <w:b/>
          <w:bCs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celosti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skladu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sa</w:t>
      </w:r>
      <w:r w:rsidR="00FB2D96" w:rsidRPr="0081246F">
        <w:rPr>
          <w:b/>
          <w:bCs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Ustavom</w:t>
      </w:r>
      <w:r w:rsidR="00AF73C2" w:rsidRPr="0081246F">
        <w:rPr>
          <w:color w:val="000000"/>
          <w:lang w:val="sr-Cyrl-CS" w:eastAsia="sr-Cyrl-CS"/>
        </w:rPr>
        <w:t>,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odnosno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čemu</w:t>
      </w:r>
      <w:r w:rsidR="00FB2D96" w:rsidRPr="0081246F">
        <w:rPr>
          <w:b/>
          <w:bCs/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nisu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suprotnosti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odredbama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čl</w:t>
      </w:r>
      <w:r w:rsidR="00FB2D96" w:rsidRPr="0081246F">
        <w:rPr>
          <w:color w:val="000000"/>
          <w:lang w:val="sr-Cyrl-CS" w:eastAsia="sr-Cyrl-CS"/>
        </w:rPr>
        <w:t xml:space="preserve">. 23. </w:t>
      </w:r>
      <w:r>
        <w:rPr>
          <w:color w:val="000000"/>
          <w:lang w:val="sr-Cyrl-CS" w:eastAsia="sr-Cyrl-CS"/>
        </w:rPr>
        <w:t>i</w:t>
      </w:r>
      <w:r w:rsidR="00FB2D96" w:rsidRPr="0081246F">
        <w:rPr>
          <w:color w:val="000000"/>
          <w:lang w:val="sr-Cyrl-CS" w:eastAsia="sr-Cyrl-CS"/>
        </w:rPr>
        <w:t xml:space="preserve"> 25</w:t>
      </w:r>
      <w:r w:rsidR="00803702" w:rsidRPr="0081246F">
        <w:rPr>
          <w:color w:val="000000"/>
          <w:lang w:val="sr-Cyrl-CS" w:eastAsia="sr-Cyrl-CS"/>
        </w:rPr>
        <w:t>.</w:t>
      </w:r>
      <w:r w:rsidR="00FB2D96" w:rsidRPr="0081246F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Ustava</w:t>
      </w:r>
      <w:r w:rsidR="00FB2D96" w:rsidRPr="0081246F">
        <w:rPr>
          <w:color w:val="000000"/>
          <w:lang w:val="sr-Cyrl-CS" w:eastAsia="sr-Cyrl-CS"/>
        </w:rPr>
        <w:t>.</w:t>
      </w:r>
    </w:p>
    <w:p w:rsidR="007C5372" w:rsidRPr="0081246F" w:rsidRDefault="007C5372" w:rsidP="00FB2D96">
      <w:pPr>
        <w:autoSpaceDE w:val="0"/>
        <w:autoSpaceDN w:val="0"/>
        <w:adjustRightInd w:val="0"/>
        <w:spacing w:before="29" w:line="269" w:lineRule="exact"/>
        <w:ind w:firstLine="528"/>
        <w:rPr>
          <w:rFonts w:eastAsiaTheme="minorEastAsia" w:cs="Times New Roman"/>
          <w:color w:val="000000"/>
          <w:szCs w:val="24"/>
          <w:lang w:val="sr-Cyrl-CS" w:eastAsia="sr-Cyrl-CS"/>
        </w:rPr>
      </w:pPr>
    </w:p>
    <w:p w:rsidR="00803702" w:rsidRPr="0081246F" w:rsidRDefault="00803702" w:rsidP="00803702">
      <w:pPr>
        <w:autoSpaceDE w:val="0"/>
        <w:autoSpaceDN w:val="0"/>
        <w:adjustRightInd w:val="0"/>
        <w:ind w:firstLine="528"/>
        <w:rPr>
          <w:rFonts w:eastAsiaTheme="minorEastAsia" w:cs="Times New Roman"/>
          <w:color w:val="000000"/>
          <w:szCs w:val="24"/>
          <w:lang w:val="sr-Cyrl-CS" w:eastAsia="sr-Cyrl-CS"/>
        </w:rPr>
      </w:pPr>
      <w:r w:rsidRPr="0081246F"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 w:rsidRPr="0081246F"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 w:rsidRPr="0081246F"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 w:rsidRPr="0081246F"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 w:rsidRPr="0081246F"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 w:rsidRPr="0081246F"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 w:rsidRPr="0081246F">
        <w:rPr>
          <w:rFonts w:eastAsiaTheme="minorEastAsia" w:cs="Times New Roman"/>
          <w:color w:val="000000"/>
          <w:szCs w:val="24"/>
          <w:lang w:val="sr-Cyrl-CS" w:eastAsia="sr-Cyrl-CS"/>
        </w:rPr>
        <w:tab/>
      </w:r>
    </w:p>
    <w:p w:rsidR="00803702" w:rsidRPr="0081246F" w:rsidRDefault="00803702" w:rsidP="00803702">
      <w:pPr>
        <w:autoSpaceDE w:val="0"/>
        <w:autoSpaceDN w:val="0"/>
        <w:adjustRightInd w:val="0"/>
        <w:ind w:firstLine="528"/>
        <w:rPr>
          <w:rFonts w:eastAsiaTheme="minorEastAsia" w:cs="Times New Roman"/>
          <w:color w:val="000000"/>
          <w:szCs w:val="24"/>
          <w:lang w:val="sr-Cyrl-CS" w:eastAsia="sr-Cyrl-CS"/>
        </w:rPr>
      </w:pPr>
      <w:r w:rsidRPr="0081246F"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 w:rsidRPr="0081246F"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 w:rsidRPr="0081246F"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 w:rsidRPr="0081246F"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 w:rsidRPr="0081246F"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 w:rsidRPr="0081246F"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 w:rsidRPr="0081246F"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 w:rsidRPr="0081246F"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 w:rsidRPr="0081246F">
        <w:rPr>
          <w:rFonts w:eastAsiaTheme="minorEastAsia" w:cs="Times New Roman"/>
          <w:color w:val="000000"/>
          <w:szCs w:val="24"/>
          <w:lang w:val="sr-Cyrl-CS" w:eastAsia="sr-Cyrl-CS"/>
        </w:rPr>
        <w:tab/>
        <w:t xml:space="preserve">        </w:t>
      </w:r>
      <w:r w:rsidR="00E72305">
        <w:rPr>
          <w:rFonts w:eastAsiaTheme="minorEastAsia" w:cs="Times New Roman"/>
          <w:color w:val="000000"/>
          <w:szCs w:val="24"/>
          <w:lang w:val="sr-Cyrl-CS" w:eastAsia="sr-Cyrl-CS"/>
        </w:rPr>
        <w:t>PREDSEDNIK</w:t>
      </w:r>
    </w:p>
    <w:p w:rsidR="00803702" w:rsidRPr="0081246F" w:rsidRDefault="00803702" w:rsidP="00803702">
      <w:pPr>
        <w:autoSpaceDE w:val="0"/>
        <w:autoSpaceDN w:val="0"/>
        <w:adjustRightInd w:val="0"/>
        <w:ind w:firstLine="528"/>
        <w:rPr>
          <w:rFonts w:eastAsiaTheme="minorEastAsia" w:cs="Times New Roman"/>
          <w:color w:val="000000"/>
          <w:szCs w:val="24"/>
          <w:lang w:val="sr-Cyrl-CS" w:eastAsia="sr-Cyrl-CS"/>
        </w:rPr>
      </w:pPr>
    </w:p>
    <w:p w:rsidR="00FB2D96" w:rsidRPr="0081246F" w:rsidRDefault="0081246F" w:rsidP="00803702">
      <w:pPr>
        <w:autoSpaceDE w:val="0"/>
        <w:autoSpaceDN w:val="0"/>
        <w:adjustRightInd w:val="0"/>
        <w:ind w:firstLine="528"/>
        <w:rPr>
          <w:rFonts w:eastAsiaTheme="minorEastAsia" w:cs="Times New Roman"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>
        <w:rPr>
          <w:rFonts w:eastAsiaTheme="minorEastAsia" w:cs="Times New Roman"/>
          <w:color w:val="000000"/>
          <w:szCs w:val="24"/>
          <w:lang w:val="sr-Cyrl-CS" w:eastAsia="sr-Cyrl-CS"/>
        </w:rPr>
        <w:tab/>
      </w:r>
      <w:r>
        <w:rPr>
          <w:rFonts w:eastAsiaTheme="minorEastAsia" w:cs="Times New Roman"/>
          <w:color w:val="000000"/>
          <w:szCs w:val="24"/>
          <w:lang w:eastAsia="sr-Cyrl-CS"/>
        </w:rPr>
        <w:t xml:space="preserve">          </w:t>
      </w:r>
      <w:r w:rsidR="00E72305">
        <w:rPr>
          <w:rFonts w:eastAsiaTheme="minorEastAsia" w:cs="Times New Roman"/>
          <w:color w:val="000000"/>
          <w:szCs w:val="24"/>
          <w:lang w:val="sr-Cyrl-CS" w:eastAsia="sr-Cyrl-CS"/>
        </w:rPr>
        <w:t>Jelena</w:t>
      </w:r>
      <w:r w:rsidR="00803702" w:rsidRPr="0081246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E72305">
        <w:rPr>
          <w:rFonts w:eastAsiaTheme="minorEastAsia" w:cs="Times New Roman"/>
          <w:color w:val="000000"/>
          <w:szCs w:val="24"/>
          <w:lang w:val="sr-Cyrl-CS" w:eastAsia="sr-Cyrl-CS"/>
        </w:rPr>
        <w:t>Žarić</w:t>
      </w:r>
      <w:r w:rsidR="00803702" w:rsidRPr="0081246F">
        <w:rPr>
          <w:rFonts w:eastAsiaTheme="minorEastAsia" w:cs="Times New Roman"/>
          <w:color w:val="000000"/>
          <w:szCs w:val="24"/>
          <w:lang w:val="sr-Cyrl-CS" w:eastAsia="sr-Cyrl-CS"/>
        </w:rPr>
        <w:t xml:space="preserve"> </w:t>
      </w:r>
      <w:r w:rsidR="00E72305">
        <w:rPr>
          <w:rFonts w:eastAsiaTheme="minorEastAsia" w:cs="Times New Roman"/>
          <w:color w:val="000000"/>
          <w:szCs w:val="24"/>
          <w:lang w:val="sr-Cyrl-CS" w:eastAsia="sr-Cyrl-CS"/>
        </w:rPr>
        <w:t>Kovačević</w:t>
      </w:r>
    </w:p>
    <w:p w:rsidR="00FB2D96" w:rsidRPr="0081246F" w:rsidRDefault="00FB2D96" w:rsidP="00FB2D96">
      <w:pPr>
        <w:autoSpaceDE w:val="0"/>
        <w:autoSpaceDN w:val="0"/>
        <w:adjustRightInd w:val="0"/>
        <w:spacing w:line="240" w:lineRule="exact"/>
        <w:rPr>
          <w:rFonts w:eastAsiaTheme="minorEastAsia" w:cs="Times New Roman"/>
          <w:szCs w:val="24"/>
        </w:rPr>
      </w:pPr>
    </w:p>
    <w:sectPr w:rsidR="00FB2D96" w:rsidRPr="0081246F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48" w:rsidRDefault="00CB1D48" w:rsidP="00E72305">
      <w:r>
        <w:separator/>
      </w:r>
    </w:p>
  </w:endnote>
  <w:endnote w:type="continuationSeparator" w:id="0">
    <w:p w:rsidR="00CB1D48" w:rsidRDefault="00CB1D48" w:rsidP="00E7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05" w:rsidRDefault="00E723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05" w:rsidRDefault="00E723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05" w:rsidRDefault="00E72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48" w:rsidRDefault="00CB1D48" w:rsidP="00E72305">
      <w:r>
        <w:separator/>
      </w:r>
    </w:p>
  </w:footnote>
  <w:footnote w:type="continuationSeparator" w:id="0">
    <w:p w:rsidR="00CB1D48" w:rsidRDefault="00CB1D48" w:rsidP="00E72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05" w:rsidRDefault="00E723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05" w:rsidRDefault="00E723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05" w:rsidRDefault="00E723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96"/>
    <w:rsid w:val="000F4D2E"/>
    <w:rsid w:val="001A0976"/>
    <w:rsid w:val="001F2708"/>
    <w:rsid w:val="0026725C"/>
    <w:rsid w:val="002A217D"/>
    <w:rsid w:val="0031406C"/>
    <w:rsid w:val="00360496"/>
    <w:rsid w:val="004B0DB5"/>
    <w:rsid w:val="005B1C83"/>
    <w:rsid w:val="00694559"/>
    <w:rsid w:val="006B50D4"/>
    <w:rsid w:val="006F48D6"/>
    <w:rsid w:val="00777699"/>
    <w:rsid w:val="007A25C3"/>
    <w:rsid w:val="007C5372"/>
    <w:rsid w:val="00803702"/>
    <w:rsid w:val="0081246F"/>
    <w:rsid w:val="00880930"/>
    <w:rsid w:val="008B6C42"/>
    <w:rsid w:val="009A387D"/>
    <w:rsid w:val="00A02322"/>
    <w:rsid w:val="00AF73C2"/>
    <w:rsid w:val="00B02F06"/>
    <w:rsid w:val="00B26C59"/>
    <w:rsid w:val="00B77BC9"/>
    <w:rsid w:val="00BB070D"/>
    <w:rsid w:val="00BC3CD7"/>
    <w:rsid w:val="00CB1D48"/>
    <w:rsid w:val="00CF7A55"/>
    <w:rsid w:val="00DE4A59"/>
    <w:rsid w:val="00E66BE2"/>
    <w:rsid w:val="00E72305"/>
    <w:rsid w:val="00EB685D"/>
    <w:rsid w:val="00EF25CC"/>
    <w:rsid w:val="00FA7D41"/>
    <w:rsid w:val="00FB2D96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B2D96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 w:cs="Times New Roman"/>
      <w:szCs w:val="24"/>
    </w:rPr>
  </w:style>
  <w:style w:type="paragraph" w:customStyle="1" w:styleId="Style7">
    <w:name w:val="Style7"/>
    <w:basedOn w:val="Normal"/>
    <w:uiPriority w:val="99"/>
    <w:rsid w:val="00FB2D96"/>
    <w:pPr>
      <w:widowControl w:val="0"/>
      <w:autoSpaceDE w:val="0"/>
      <w:autoSpaceDN w:val="0"/>
      <w:adjustRightInd w:val="0"/>
      <w:spacing w:line="275" w:lineRule="exact"/>
      <w:ind w:firstLine="538"/>
    </w:pPr>
    <w:rPr>
      <w:rFonts w:eastAsiaTheme="minorEastAsia" w:cs="Times New Roman"/>
      <w:szCs w:val="24"/>
    </w:rPr>
  </w:style>
  <w:style w:type="paragraph" w:customStyle="1" w:styleId="Style10">
    <w:name w:val="Style10"/>
    <w:basedOn w:val="Normal"/>
    <w:uiPriority w:val="99"/>
    <w:rsid w:val="00FB2D96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customStyle="1" w:styleId="Style13">
    <w:name w:val="Style13"/>
    <w:basedOn w:val="Normal"/>
    <w:uiPriority w:val="99"/>
    <w:rsid w:val="00FB2D96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</w:rPr>
  </w:style>
  <w:style w:type="character" w:customStyle="1" w:styleId="FontStyle22">
    <w:name w:val="Font Style22"/>
    <w:basedOn w:val="DefaultParagraphFont"/>
    <w:uiPriority w:val="99"/>
    <w:rsid w:val="00FB2D9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FB2D9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FB2D96"/>
    <w:rPr>
      <w:rFonts w:ascii="Candara" w:hAnsi="Candara" w:cs="Candara"/>
      <w:b/>
      <w:bCs/>
      <w:color w:val="000000"/>
      <w:spacing w:val="40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FB2D96"/>
    <w:rPr>
      <w:rFonts w:ascii="Candara" w:hAnsi="Candara" w:cs="Candara"/>
      <w:color w:val="000000"/>
      <w:sz w:val="36"/>
      <w:szCs w:val="36"/>
    </w:rPr>
  </w:style>
  <w:style w:type="character" w:customStyle="1" w:styleId="FontStyle24">
    <w:name w:val="Font Style24"/>
    <w:basedOn w:val="DefaultParagraphFont"/>
    <w:uiPriority w:val="99"/>
    <w:rsid w:val="00FB2D9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5">
    <w:name w:val="Font Style25"/>
    <w:basedOn w:val="DefaultParagraphFont"/>
    <w:uiPriority w:val="99"/>
    <w:rsid w:val="00FB2D96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basedOn w:val="DefaultParagraphFont"/>
    <w:uiPriority w:val="99"/>
    <w:rsid w:val="00FB2D9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FB2D9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FB2D9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FB2D96"/>
    <w:pPr>
      <w:widowControl w:val="0"/>
      <w:autoSpaceDE w:val="0"/>
      <w:autoSpaceDN w:val="0"/>
      <w:adjustRightInd w:val="0"/>
      <w:spacing w:line="278" w:lineRule="exact"/>
      <w:ind w:firstLine="355"/>
    </w:pPr>
    <w:rPr>
      <w:rFonts w:eastAsiaTheme="minorEastAsia" w:cs="Times New Roman"/>
      <w:szCs w:val="24"/>
    </w:rPr>
  </w:style>
  <w:style w:type="paragraph" w:customStyle="1" w:styleId="Style14">
    <w:name w:val="Style14"/>
    <w:basedOn w:val="Normal"/>
    <w:uiPriority w:val="99"/>
    <w:rsid w:val="00FB2D96"/>
    <w:pPr>
      <w:widowControl w:val="0"/>
      <w:autoSpaceDE w:val="0"/>
      <w:autoSpaceDN w:val="0"/>
      <w:adjustRightInd w:val="0"/>
      <w:spacing w:line="276" w:lineRule="exact"/>
      <w:ind w:firstLine="710"/>
    </w:pPr>
    <w:rPr>
      <w:rFonts w:eastAsiaTheme="minorEastAs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305"/>
  </w:style>
  <w:style w:type="paragraph" w:styleId="Footer">
    <w:name w:val="footer"/>
    <w:basedOn w:val="Normal"/>
    <w:link w:val="FooterChar"/>
    <w:uiPriority w:val="99"/>
    <w:unhideWhenUsed/>
    <w:rsid w:val="00E72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3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B2D96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 w:cs="Times New Roman"/>
      <w:szCs w:val="24"/>
    </w:rPr>
  </w:style>
  <w:style w:type="paragraph" w:customStyle="1" w:styleId="Style7">
    <w:name w:val="Style7"/>
    <w:basedOn w:val="Normal"/>
    <w:uiPriority w:val="99"/>
    <w:rsid w:val="00FB2D96"/>
    <w:pPr>
      <w:widowControl w:val="0"/>
      <w:autoSpaceDE w:val="0"/>
      <w:autoSpaceDN w:val="0"/>
      <w:adjustRightInd w:val="0"/>
      <w:spacing w:line="275" w:lineRule="exact"/>
      <w:ind w:firstLine="538"/>
    </w:pPr>
    <w:rPr>
      <w:rFonts w:eastAsiaTheme="minorEastAsia" w:cs="Times New Roman"/>
      <w:szCs w:val="24"/>
    </w:rPr>
  </w:style>
  <w:style w:type="paragraph" w:customStyle="1" w:styleId="Style10">
    <w:name w:val="Style10"/>
    <w:basedOn w:val="Normal"/>
    <w:uiPriority w:val="99"/>
    <w:rsid w:val="00FB2D96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customStyle="1" w:styleId="Style13">
    <w:name w:val="Style13"/>
    <w:basedOn w:val="Normal"/>
    <w:uiPriority w:val="99"/>
    <w:rsid w:val="00FB2D96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</w:rPr>
  </w:style>
  <w:style w:type="character" w:customStyle="1" w:styleId="FontStyle22">
    <w:name w:val="Font Style22"/>
    <w:basedOn w:val="DefaultParagraphFont"/>
    <w:uiPriority w:val="99"/>
    <w:rsid w:val="00FB2D9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FB2D9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FB2D96"/>
    <w:rPr>
      <w:rFonts w:ascii="Candara" w:hAnsi="Candara" w:cs="Candara"/>
      <w:b/>
      <w:bCs/>
      <w:color w:val="000000"/>
      <w:spacing w:val="40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FB2D96"/>
    <w:rPr>
      <w:rFonts w:ascii="Candara" w:hAnsi="Candara" w:cs="Candara"/>
      <w:color w:val="000000"/>
      <w:sz w:val="36"/>
      <w:szCs w:val="36"/>
    </w:rPr>
  </w:style>
  <w:style w:type="character" w:customStyle="1" w:styleId="FontStyle24">
    <w:name w:val="Font Style24"/>
    <w:basedOn w:val="DefaultParagraphFont"/>
    <w:uiPriority w:val="99"/>
    <w:rsid w:val="00FB2D9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5">
    <w:name w:val="Font Style25"/>
    <w:basedOn w:val="DefaultParagraphFont"/>
    <w:uiPriority w:val="99"/>
    <w:rsid w:val="00FB2D96"/>
    <w:rPr>
      <w:rFonts w:ascii="Times New Roman" w:hAnsi="Times New Roman" w:cs="Times New Roman"/>
      <w:b/>
      <w:bCs/>
      <w:smallCaps/>
      <w:color w:val="000000"/>
      <w:sz w:val="18"/>
      <w:szCs w:val="18"/>
    </w:rPr>
  </w:style>
  <w:style w:type="character" w:customStyle="1" w:styleId="FontStyle26">
    <w:name w:val="Font Style26"/>
    <w:basedOn w:val="DefaultParagraphFont"/>
    <w:uiPriority w:val="99"/>
    <w:rsid w:val="00FB2D9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FB2D9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FB2D9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FB2D96"/>
    <w:pPr>
      <w:widowControl w:val="0"/>
      <w:autoSpaceDE w:val="0"/>
      <w:autoSpaceDN w:val="0"/>
      <w:adjustRightInd w:val="0"/>
      <w:spacing w:line="278" w:lineRule="exact"/>
      <w:ind w:firstLine="355"/>
    </w:pPr>
    <w:rPr>
      <w:rFonts w:eastAsiaTheme="minorEastAsia" w:cs="Times New Roman"/>
      <w:szCs w:val="24"/>
    </w:rPr>
  </w:style>
  <w:style w:type="paragraph" w:customStyle="1" w:styleId="Style14">
    <w:name w:val="Style14"/>
    <w:basedOn w:val="Normal"/>
    <w:uiPriority w:val="99"/>
    <w:rsid w:val="00FB2D96"/>
    <w:pPr>
      <w:widowControl w:val="0"/>
      <w:autoSpaceDE w:val="0"/>
      <w:autoSpaceDN w:val="0"/>
      <w:adjustRightInd w:val="0"/>
      <w:spacing w:line="276" w:lineRule="exact"/>
      <w:ind w:firstLine="710"/>
    </w:pPr>
    <w:rPr>
      <w:rFonts w:eastAsiaTheme="minorEastAs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305"/>
  </w:style>
  <w:style w:type="paragraph" w:styleId="Footer">
    <w:name w:val="footer"/>
    <w:basedOn w:val="Normal"/>
    <w:link w:val="FooterChar"/>
    <w:uiPriority w:val="99"/>
    <w:unhideWhenUsed/>
    <w:rsid w:val="00E72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2021-01-21T10:51:00Z</cp:lastPrinted>
  <dcterms:created xsi:type="dcterms:W3CDTF">2021-02-01T11:47:00Z</dcterms:created>
  <dcterms:modified xsi:type="dcterms:W3CDTF">2021-02-01T11:47:00Z</dcterms:modified>
</cp:coreProperties>
</file>